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bookmarkStart w:id="0" w:name="_GoBack"/>
      <w:bookmarkEnd w:id="0"/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367F95F9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E97F29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97F29">
        <w:rPr>
          <w:rFonts w:cs="B Mitra" w:hint="cs"/>
          <w:b/>
          <w:bCs/>
          <w:sz w:val="24"/>
          <w:szCs w:val="24"/>
          <w:rtl/>
          <w:lang w:bidi="fa-IR"/>
        </w:rPr>
        <w:t>کارآموزی بررسي وضعيت سلامت سالمند</w:t>
      </w:r>
    </w:p>
    <w:p w14:paraId="3BE85335" w14:textId="69F29A11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47721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ضیاییان</w:t>
      </w:r>
    </w:p>
    <w:p w14:paraId="5ACCE701" w14:textId="1B0D6667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47721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سالمندان </w:t>
      </w:r>
    </w:p>
    <w:p w14:paraId="01C6E789" w14:textId="6C1E4A4B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7721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سریه پورتقی</w:t>
      </w:r>
    </w:p>
    <w:p w14:paraId="46AD21E6" w14:textId="4709F8A3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7721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سریه پورتقی</w:t>
      </w:r>
    </w:p>
    <w:p w14:paraId="7AFA580F" w14:textId="624B1A43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7721C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7721C">
        <w:rPr>
          <w:rFonts w:ascii="Times New Roman" w:hAnsi="Times New Roman" w:cs="B Nazanin"/>
          <w:sz w:val="20"/>
          <w:szCs w:val="28"/>
          <w:lang w:bidi="fa-IR"/>
        </w:rPr>
        <w:t>s-poortaghi@sina.tums.ac.ir</w:t>
      </w:r>
    </w:p>
    <w:p w14:paraId="711130AE" w14:textId="76BB6D36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6FE7037" w14:textId="77777777" w:rsidR="0047721C" w:rsidRPr="00857465" w:rsidRDefault="0047721C" w:rsidP="0047721C">
      <w:pPr>
        <w:bidi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در اين درس دانشجو با نحوه اخذ شرح حال از مددجوي سالمند و خانواده با استفاده از ابزارهاي بررسي وضعيت سلامت جامع و اختصاصي آشنا گرديده و به صوررت نظري و عملي با انجام معاينات جسمي هر يك از ارگانها تسلط بيشتري پيدا مي كند. با توجه به رويكرد جامع و جامعه نگر بودن دوره آموزشي، اصول ارزيابي خانواده و محيط زندگي مددجوي سالمند نيز در اين درس پوشش داده مي شود.  </w:t>
      </w:r>
    </w:p>
    <w:p w14:paraId="2D14CF41" w14:textId="77777777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42880E9B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1C3BADC9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CECE263" w14:textId="3437CCF9" w:rsidR="0047721C" w:rsidRDefault="0047721C" w:rsidP="0047721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انتظار می رود فراگیران در پایان این دوره بتوانند: </w:t>
      </w:r>
    </w:p>
    <w:p w14:paraId="32E6BC8F" w14:textId="5BBF4386" w:rsidR="0047721C" w:rsidRPr="00857465" w:rsidRDefault="0047721C" w:rsidP="0047721C">
      <w:pPr>
        <w:numPr>
          <w:ilvl w:val="0"/>
          <w:numId w:val="9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>اهميت بررسي و شناخت وضعيت سالمند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را تشریح کنند. </w:t>
      </w:r>
    </w:p>
    <w:p w14:paraId="58DC83E7" w14:textId="538E4811" w:rsidR="0047721C" w:rsidRPr="00857465" w:rsidRDefault="0047721C" w:rsidP="0047721C">
      <w:pPr>
        <w:numPr>
          <w:ilvl w:val="0"/>
          <w:numId w:val="9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اصول مصاحبه و اخذ شرح حال از مددجوي سالمند و خانواده 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را به کار ببندد. </w:t>
      </w:r>
    </w:p>
    <w:p w14:paraId="1EBD1979" w14:textId="146F8C98" w:rsidR="0047721C" w:rsidRPr="00857465" w:rsidRDefault="0047721C" w:rsidP="0047721C">
      <w:pPr>
        <w:numPr>
          <w:ilvl w:val="0"/>
          <w:numId w:val="9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>حيطه هاي مختلف بررسي و شناخت (زيستي، رواني، اجتماعي، محيطي و خانواده) وضعيت سلامت سالمند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را اجرا نماید. </w:t>
      </w:r>
    </w:p>
    <w:p w14:paraId="578707A7" w14:textId="53E165F8" w:rsidR="0047721C" w:rsidRPr="00857465" w:rsidRDefault="0047721C" w:rsidP="0047721C">
      <w:pPr>
        <w:numPr>
          <w:ilvl w:val="0"/>
          <w:numId w:val="9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>ملاحظات خاص هنگام بررسي وض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عيت سالمند را به کار گیرد. </w:t>
      </w:r>
    </w:p>
    <w:p w14:paraId="723D838E" w14:textId="1EBBA91F" w:rsidR="0047721C" w:rsidRPr="00857465" w:rsidRDefault="0047721C" w:rsidP="0047721C">
      <w:pPr>
        <w:numPr>
          <w:ilvl w:val="0"/>
          <w:numId w:val="9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ابزارهاي مختلف ارزيابي سالمندي 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را بشناسد و از آنها استفاده کند. </w:t>
      </w:r>
      <w:r w:rsidRPr="00857465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</w:t>
      </w:r>
    </w:p>
    <w:p w14:paraId="78A5353C" w14:textId="77777777" w:rsidR="00BC7A9F" w:rsidRDefault="00BC7A9F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0F9F450" w14:textId="77777777" w:rsidR="00BC7A9F" w:rsidRDefault="00BC7A9F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4560681D" w:rsidR="00993245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1E86F37C" w14:textId="347CB4B7" w:rsidR="00BC7A9F" w:rsidRDefault="0047721C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Gill Sans MT" w:eastAsia="Times New Roman" w:hAnsi="Arial" w:cs="B Mitra" w:hint="cs"/>
          <w:b/>
          <w:bCs/>
          <w:color w:val="000000"/>
          <w:kern w:val="24"/>
          <w:sz w:val="24"/>
          <w:szCs w:val="24"/>
          <w:rtl/>
          <w:lang w:bidi="fa-IR"/>
        </w:rPr>
        <w:t>معاینه بالینی بیماران بر اساس حیطه های مختلف بررسی و شناخت و با به</w:t>
      </w:r>
      <w:r w:rsidR="00A42B84">
        <w:rPr>
          <w:rFonts w:ascii="Gill Sans MT" w:eastAsia="Times New Roman" w:hAnsi="Arial" w:cs="B Mitra" w:hint="cs"/>
          <w:b/>
          <w:bCs/>
          <w:color w:val="000000"/>
          <w:kern w:val="24"/>
          <w:sz w:val="24"/>
          <w:szCs w:val="24"/>
          <w:rtl/>
          <w:lang w:bidi="fa-IR"/>
        </w:rPr>
        <w:t xml:space="preserve"> کار</w:t>
      </w:r>
      <w:r>
        <w:rPr>
          <w:rFonts w:ascii="Gill Sans MT" w:eastAsia="Times New Roman" w:hAnsi="Arial" w:cs="B Mitra" w:hint="cs"/>
          <w:b/>
          <w:bCs/>
          <w:color w:val="000000"/>
          <w:kern w:val="24"/>
          <w:sz w:val="24"/>
          <w:szCs w:val="24"/>
          <w:rtl/>
          <w:lang w:bidi="fa-IR"/>
        </w:rPr>
        <w:t xml:space="preserve">گیری </w:t>
      </w:r>
      <w:r w:rsidR="00A42B84">
        <w:rPr>
          <w:rFonts w:ascii="Gill Sans MT" w:eastAsia="Times New Roman" w:hAnsi="Arial" w:cs="B Mitra" w:hint="cs"/>
          <w:b/>
          <w:bCs/>
          <w:color w:val="000000"/>
          <w:kern w:val="24"/>
          <w:sz w:val="24"/>
          <w:szCs w:val="24"/>
          <w:rtl/>
          <w:lang w:bidi="fa-IR"/>
        </w:rPr>
        <w:t>ملاحظات خاص دوران سالمندی</w:t>
      </w:r>
    </w:p>
    <w:p w14:paraId="3A379272" w14:textId="77777777" w:rsidR="00BC7A9F" w:rsidRPr="00B115DB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7777777" w:rsidR="007D345C" w:rsidRDefault="007D345C" w:rsidP="00BD754A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7A2BE33E" w14:textId="77777777" w:rsidR="00A42B84" w:rsidRPr="00A42B84" w:rsidRDefault="00A42B84" w:rsidP="00A42B84">
      <w:pPr>
        <w:numPr>
          <w:ilvl w:val="0"/>
          <w:numId w:val="10"/>
        </w:numPr>
        <w:bidi/>
        <w:spacing w:after="0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  <w:r w:rsidRPr="00A42B8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حضور به موقع و فعال </w:t>
      </w:r>
    </w:p>
    <w:p w14:paraId="00B9BE35" w14:textId="77777777" w:rsidR="00A42B84" w:rsidRPr="00A42B84" w:rsidRDefault="00A42B84" w:rsidP="00A42B84">
      <w:pPr>
        <w:numPr>
          <w:ilvl w:val="0"/>
          <w:numId w:val="10"/>
        </w:numPr>
        <w:bidi/>
        <w:spacing w:after="0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  <w:r w:rsidRPr="00A42B8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رعایت ملاحظات اخلاقی و پوشش حرفه ای </w:t>
      </w:r>
    </w:p>
    <w:p w14:paraId="70C2B451" w14:textId="77777777" w:rsidR="00A42B84" w:rsidRPr="00A42B84" w:rsidRDefault="00A42B84" w:rsidP="00A42B84">
      <w:pPr>
        <w:numPr>
          <w:ilvl w:val="0"/>
          <w:numId w:val="10"/>
        </w:numPr>
        <w:bidi/>
        <w:spacing w:after="0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  <w:r w:rsidRPr="00A42B84">
        <w:rPr>
          <w:rFonts w:ascii="Calibri" w:eastAsia="Times New Roman" w:hAnsi="Calibri" w:cs="B Zar" w:hint="cs"/>
          <w:b/>
          <w:bCs/>
          <w:sz w:val="24"/>
          <w:szCs w:val="24"/>
          <w:rtl/>
          <w:lang w:bidi="fa-IR"/>
        </w:rPr>
        <w:t xml:space="preserve">مطالعه و مشارکت فعال در کارآموزی </w:t>
      </w: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نحوه ارزیابی کارآموزان/ کارورزان:</w:t>
      </w:r>
    </w:p>
    <w:p w14:paraId="049A6836" w14:textId="77777777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77777777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</w:p>
    <w:p w14:paraId="3BE09019" w14:textId="77777777" w:rsidR="00993245" w:rsidRPr="00892D57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37"/>
        <w:gridCol w:w="7803"/>
      </w:tblGrid>
      <w:tr w:rsidR="00A42B84" w:rsidRPr="00881774" w14:paraId="683CBD26" w14:textId="77777777" w:rsidTr="000B5AA2">
        <w:trPr>
          <w:jc w:val="center"/>
        </w:trPr>
        <w:tc>
          <w:tcPr>
            <w:tcW w:w="867" w:type="pct"/>
          </w:tcPr>
          <w:p w14:paraId="191370DE" w14:textId="77777777" w:rsidR="00A42B84" w:rsidRPr="00881774" w:rsidRDefault="00A42B84" w:rsidP="000B5AA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19DDACD9" w14:textId="77777777" w:rsidR="00A42B84" w:rsidRPr="00881774" w:rsidRDefault="00A42B84" w:rsidP="000B5AA2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817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A42B84" w:rsidRPr="00881774" w14:paraId="22847126" w14:textId="77777777" w:rsidTr="000B5AA2">
        <w:trPr>
          <w:jc w:val="center"/>
        </w:trPr>
        <w:tc>
          <w:tcPr>
            <w:tcW w:w="867" w:type="pct"/>
          </w:tcPr>
          <w:p w14:paraId="7D313D1B" w14:textId="7CFCDCD0" w:rsidR="00A42B84" w:rsidRPr="00881774" w:rsidRDefault="00A42B84" w:rsidP="000B5AA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4133" w:type="pct"/>
          </w:tcPr>
          <w:p w14:paraId="650240FF" w14:textId="4F382DF7" w:rsidR="00A42B84" w:rsidRPr="00881774" w:rsidRDefault="00A42B84" w:rsidP="000B5AA2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رعایت نظم و شئونات رفتار حرفه ای </w:t>
            </w:r>
          </w:p>
        </w:tc>
      </w:tr>
      <w:tr w:rsidR="00A42B84" w:rsidRPr="00881774" w14:paraId="780A0128" w14:textId="77777777" w:rsidTr="000B5AA2">
        <w:trPr>
          <w:jc w:val="center"/>
        </w:trPr>
        <w:tc>
          <w:tcPr>
            <w:tcW w:w="867" w:type="pct"/>
          </w:tcPr>
          <w:p w14:paraId="0C28B665" w14:textId="0BB00915" w:rsidR="00A42B84" w:rsidRDefault="00A42B84" w:rsidP="000B5AA2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4133" w:type="pct"/>
          </w:tcPr>
          <w:p w14:paraId="10E9E52F" w14:textId="54F0D72A" w:rsidR="00A42B84" w:rsidRDefault="00A42B84" w:rsidP="000B5AA2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DOPS</w:t>
            </w:r>
          </w:p>
        </w:tc>
      </w:tr>
    </w:tbl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629F76FB" w14:textId="6491B6BC" w:rsidR="00993245" w:rsidRPr="00EB6DB3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FB75921" w14:textId="77777777" w:rsidR="00A42B84" w:rsidRDefault="00A42B84" w:rsidP="00A42B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1-</w:t>
      </w:r>
      <w:r w:rsidRPr="00AB428E">
        <w:rPr>
          <w:rFonts w:ascii="Calibri" w:hAnsi="Calibri" w:cs="Calibri"/>
          <w:sz w:val="24"/>
          <w:szCs w:val="24"/>
          <w:lang w:bidi="fa-IR"/>
        </w:rPr>
        <w:t>Jeffrey B. Halter,Joseph G. Ouslander, Stephanie Studenski</w:t>
      </w:r>
      <w:r>
        <w:rPr>
          <w:rFonts w:ascii="Calibri" w:hAnsi="Calibri" w:cs="Calibri"/>
          <w:sz w:val="24"/>
          <w:szCs w:val="24"/>
          <w:lang w:bidi="fa-IR"/>
        </w:rPr>
        <w:t xml:space="preserve">. </w:t>
      </w:r>
      <w:r w:rsidRPr="00AB428E">
        <w:rPr>
          <w:rFonts w:ascii="Calibri" w:hAnsi="Calibri" w:cs="Calibri"/>
          <w:sz w:val="24"/>
          <w:szCs w:val="24"/>
          <w:lang w:bidi="fa-IR"/>
        </w:rPr>
        <w:t>Hazzard’s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AB428E">
        <w:rPr>
          <w:rFonts w:ascii="Calibri" w:hAnsi="Calibri" w:cs="Calibri"/>
          <w:sz w:val="24"/>
          <w:szCs w:val="24"/>
          <w:lang w:bidi="fa-IR"/>
        </w:rPr>
        <w:t>Geriatric Medicine and</w:t>
      </w:r>
      <w:r>
        <w:rPr>
          <w:rFonts w:ascii="Calibri" w:hAnsi="Calibri" w:cs="Calibri"/>
          <w:sz w:val="24"/>
          <w:szCs w:val="24"/>
          <w:lang w:bidi="fa-IR"/>
        </w:rPr>
        <w:t xml:space="preserve"> </w:t>
      </w:r>
      <w:r w:rsidRPr="00AB428E">
        <w:rPr>
          <w:rFonts w:ascii="Calibri" w:hAnsi="Calibri" w:cs="Calibri"/>
          <w:sz w:val="24"/>
          <w:szCs w:val="24"/>
          <w:lang w:bidi="fa-IR"/>
        </w:rPr>
        <w:t>Gerontology</w:t>
      </w:r>
      <w:r>
        <w:rPr>
          <w:rFonts w:ascii="Calibri" w:hAnsi="Calibri" w:cs="Calibri"/>
          <w:sz w:val="24"/>
          <w:szCs w:val="24"/>
          <w:lang w:bidi="fa-IR"/>
        </w:rPr>
        <w:t>, 7</w:t>
      </w:r>
      <w:r w:rsidRPr="00AB428E">
        <w:rPr>
          <w:rFonts w:ascii="Calibri" w:hAnsi="Calibri" w:cs="Calibri"/>
          <w:sz w:val="24"/>
          <w:szCs w:val="24"/>
          <w:lang w:bidi="fa-IR"/>
        </w:rPr>
        <w:t>th</w:t>
      </w:r>
      <w:r>
        <w:rPr>
          <w:rFonts w:ascii="Calibri" w:hAnsi="Calibri" w:cs="Calibri"/>
          <w:sz w:val="24"/>
          <w:szCs w:val="24"/>
          <w:lang w:bidi="fa-IR"/>
        </w:rPr>
        <w:t xml:space="preserve"> edition, 2017. </w:t>
      </w:r>
    </w:p>
    <w:p w14:paraId="07E30841" w14:textId="77777777" w:rsidR="00A42B84" w:rsidRDefault="00A42B84" w:rsidP="00A42B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2-Charlette Elipoulous. "Gerontological Nursing" : Last edition.</w:t>
      </w:r>
    </w:p>
    <w:p w14:paraId="2BC0611C" w14:textId="77777777" w:rsidR="00A42B84" w:rsidRDefault="00A42B84" w:rsidP="00A42B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3-Mayer H. Brenna; et al. "Better Elder Care. A Nurse's Guide to Caring for Older Adults". New York: Spingerhouse Co. Last edition.</w:t>
      </w:r>
    </w:p>
    <w:p w14:paraId="0E5A2B31" w14:textId="77777777" w:rsidR="00A42B84" w:rsidRDefault="00A42B84" w:rsidP="00A42B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4-Meridean L.Maasl: et al. "Nursing Care of Older Adults. Diagnoses.Outcomes &amp; Interventions; Mosby Co. first edition, 2001.</w:t>
      </w:r>
    </w:p>
    <w:p w14:paraId="3437BD3C" w14:textId="77777777" w:rsidR="00A42B84" w:rsidRDefault="00A42B84" w:rsidP="00A42B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5-Molony,Waszinsky, Lyder. Gerontological Nursing and Advanced Practice Approach: Last Edition.</w:t>
      </w:r>
    </w:p>
    <w:p w14:paraId="596376BE" w14:textId="77777777" w:rsidR="00A42B84" w:rsidRDefault="00A42B84" w:rsidP="00A42B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6- Ebersole p.Hess p. "Toward healthy aging: human needs and nursing response". Fifth edition,1998.</w:t>
      </w:r>
    </w:p>
    <w:p w14:paraId="57CF4FF5" w14:textId="77777777" w:rsidR="00A42B84" w:rsidRDefault="00A42B84" w:rsidP="00A42B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>7-Sally j.Redfern,et al. Nursing Older People: Last edition.</w:t>
      </w:r>
    </w:p>
    <w:p w14:paraId="1D2D0AFF" w14:textId="451C3020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77777777" w:rsidR="00993245" w:rsidRPr="00AE4764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7"/>
        <w:gridCol w:w="1331"/>
        <w:gridCol w:w="1341"/>
        <w:gridCol w:w="1347"/>
        <w:gridCol w:w="1339"/>
        <w:gridCol w:w="1366"/>
        <w:gridCol w:w="1289"/>
      </w:tblGrid>
      <w:tr w:rsidR="00993245" w:rsidRPr="00872C1B" w14:paraId="5CFA60D5" w14:textId="77777777" w:rsidTr="00A42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31" w:type="dxa"/>
          </w:tcPr>
          <w:p w14:paraId="3539D5BD" w14:textId="268D4619" w:rsidR="00993245" w:rsidRPr="00853ACF" w:rsidRDefault="00A42B84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 xml:space="preserve">روز اول </w:t>
            </w:r>
          </w:p>
        </w:tc>
        <w:tc>
          <w:tcPr>
            <w:tcW w:w="1341" w:type="dxa"/>
          </w:tcPr>
          <w:p w14:paraId="06C97E25" w14:textId="6D9E8578" w:rsidR="00993245" w:rsidRPr="00853ACF" w:rsidRDefault="00A42B84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 xml:space="preserve">روز دوم </w:t>
            </w:r>
          </w:p>
        </w:tc>
        <w:tc>
          <w:tcPr>
            <w:tcW w:w="1347" w:type="dxa"/>
          </w:tcPr>
          <w:p w14:paraId="7AF8F3AE" w14:textId="643773E8" w:rsidR="00993245" w:rsidRPr="00853ACF" w:rsidRDefault="00A42B84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 سوم</w:t>
            </w:r>
          </w:p>
        </w:tc>
        <w:tc>
          <w:tcPr>
            <w:tcW w:w="1339" w:type="dxa"/>
          </w:tcPr>
          <w:p w14:paraId="3BA95ACA" w14:textId="2F4F59E4" w:rsidR="00993245" w:rsidRPr="00853ACF" w:rsidRDefault="00A42B84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 چهارم</w:t>
            </w:r>
          </w:p>
        </w:tc>
        <w:tc>
          <w:tcPr>
            <w:tcW w:w="1366" w:type="dxa"/>
          </w:tcPr>
          <w:p w14:paraId="6B0CC588" w14:textId="20247C67" w:rsidR="00993245" w:rsidRPr="00853ACF" w:rsidRDefault="00A42B84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1289" w:type="dxa"/>
          </w:tcPr>
          <w:p w14:paraId="6402DD8D" w14:textId="4B16E5A1" w:rsidR="00993245" w:rsidRPr="00853ACF" w:rsidRDefault="00A42B84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 ششم</w:t>
            </w:r>
          </w:p>
        </w:tc>
      </w:tr>
      <w:tr w:rsidR="00A42B84" w:rsidRPr="00853ACF" w14:paraId="05BE9E6B" w14:textId="77777777" w:rsidTr="00A4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0C61B9D4" w14:textId="77777777" w:rsidR="00A42B84" w:rsidRPr="00853ACF" w:rsidRDefault="00A42B84" w:rsidP="00A42B84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31" w:type="dxa"/>
          </w:tcPr>
          <w:p w14:paraId="1C22A374" w14:textId="6642DC10" w:rsidR="00A42B84" w:rsidRPr="00853ACF" w:rsidRDefault="00A42B84" w:rsidP="00A42B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آشنایی با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بخش و گزارشات پرونده بیماران</w:t>
            </w:r>
          </w:p>
        </w:tc>
        <w:tc>
          <w:tcPr>
            <w:tcW w:w="1341" w:type="dxa"/>
          </w:tcPr>
          <w:p w14:paraId="1A1BCC80" w14:textId="77777777" w:rsidR="00A42B84" w:rsidRDefault="00A42B84" w:rsidP="00A42B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شرکت در گراند راند </w:t>
            </w:r>
          </w:p>
          <w:p w14:paraId="77E55DC6" w14:textId="224590B3" w:rsidR="00A42B84" w:rsidRPr="00853ACF" w:rsidRDefault="00A42B84" w:rsidP="00A42B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A42B84"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  <w:t>اصول مصاحبه و اخذ شرح حال از سالمند و خانواده، حيطه هاي مختلف بررسي و شناخت</w:t>
            </w:r>
          </w:p>
        </w:tc>
        <w:tc>
          <w:tcPr>
            <w:tcW w:w="1347" w:type="dxa"/>
          </w:tcPr>
          <w:p w14:paraId="354B5D75" w14:textId="7B1A666A" w:rsidR="00A42B84" w:rsidRPr="00853ACF" w:rsidRDefault="00A42B84" w:rsidP="00A42B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BE418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معاینه  سيستم قلبي- عروقي</w:t>
            </w:r>
          </w:p>
        </w:tc>
        <w:tc>
          <w:tcPr>
            <w:tcW w:w="1339" w:type="dxa"/>
          </w:tcPr>
          <w:p w14:paraId="5303C8FD" w14:textId="64279FC1" w:rsidR="00A42B84" w:rsidRPr="00853ACF" w:rsidRDefault="00A42B84" w:rsidP="00A42B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BE418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معاینه سيستم تنفسي، سيستم عضلاني اسكلتي</w:t>
            </w:r>
          </w:p>
        </w:tc>
        <w:tc>
          <w:tcPr>
            <w:tcW w:w="1366" w:type="dxa"/>
          </w:tcPr>
          <w:p w14:paraId="53427F14" w14:textId="3938B9BC" w:rsidR="00A42B84" w:rsidRPr="00853ACF" w:rsidRDefault="00A42B84" w:rsidP="00A42B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BE418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معاینه سيستم مغز و اعصاب، سيستم گوارشي و تغذيه اي</w:t>
            </w:r>
          </w:p>
        </w:tc>
        <w:tc>
          <w:tcPr>
            <w:tcW w:w="1289" w:type="dxa"/>
          </w:tcPr>
          <w:p w14:paraId="3912150E" w14:textId="7640ACE5" w:rsidR="00A42B84" w:rsidRPr="00853ACF" w:rsidRDefault="00A42B84" w:rsidP="00A42B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BE418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معاینه سلامت رواني و معنوي، سيستم اندوكرين</w:t>
            </w:r>
          </w:p>
        </w:tc>
      </w:tr>
      <w:tr w:rsidR="00BE4180" w:rsidRPr="00853ACF" w14:paraId="134EB315" w14:textId="77777777" w:rsidTr="00A4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7CD02AA9" w14:textId="77777777" w:rsidR="00BE4180" w:rsidRPr="00853ACF" w:rsidRDefault="00BE4180" w:rsidP="00BE418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lastRenderedPageBreak/>
              <w:t>مسؤول</w:t>
            </w:r>
          </w:p>
        </w:tc>
        <w:tc>
          <w:tcPr>
            <w:tcW w:w="1331" w:type="dxa"/>
          </w:tcPr>
          <w:p w14:paraId="590193A6" w14:textId="7FECB59F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341" w:type="dxa"/>
          </w:tcPr>
          <w:p w14:paraId="2C8A23B1" w14:textId="750BBF43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A631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347" w:type="dxa"/>
          </w:tcPr>
          <w:p w14:paraId="4A8815B7" w14:textId="5EB56F7D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A631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339" w:type="dxa"/>
          </w:tcPr>
          <w:p w14:paraId="61B5F435" w14:textId="7182FBE1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8A631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366" w:type="dxa"/>
          </w:tcPr>
          <w:p w14:paraId="1C667038" w14:textId="4905CF0A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A631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289" w:type="dxa"/>
          </w:tcPr>
          <w:p w14:paraId="20EBDB74" w14:textId="7EE48679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A6314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</w:tr>
      <w:tr w:rsidR="00BE4180" w:rsidRPr="00853ACF" w14:paraId="0D41AD95" w14:textId="77777777" w:rsidTr="00A4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4D38DA1C" w14:textId="77777777" w:rsidR="00BE4180" w:rsidRPr="00853ACF" w:rsidRDefault="00BE4180" w:rsidP="00BE418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  <w:r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1" w:type="dxa"/>
          </w:tcPr>
          <w:p w14:paraId="191447D4" w14:textId="37008904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اولین روز </w:t>
            </w:r>
          </w:p>
        </w:tc>
        <w:tc>
          <w:tcPr>
            <w:tcW w:w="1341" w:type="dxa"/>
          </w:tcPr>
          <w:p w14:paraId="3A1459D2" w14:textId="685330CF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8 تا 12</w:t>
            </w:r>
          </w:p>
        </w:tc>
        <w:tc>
          <w:tcPr>
            <w:tcW w:w="1347" w:type="dxa"/>
          </w:tcPr>
          <w:p w14:paraId="39C6A3E8" w14:textId="1CBF296D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3F4D8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ساعت8 تا 12</w:t>
            </w:r>
          </w:p>
        </w:tc>
        <w:tc>
          <w:tcPr>
            <w:tcW w:w="1339" w:type="dxa"/>
          </w:tcPr>
          <w:p w14:paraId="148AD439" w14:textId="12505268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3F4D8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ساعت8 تا 12</w:t>
            </w:r>
          </w:p>
        </w:tc>
        <w:tc>
          <w:tcPr>
            <w:tcW w:w="1366" w:type="dxa"/>
          </w:tcPr>
          <w:p w14:paraId="2CFC597D" w14:textId="2E762BD6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3F4D8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ساعت8 تا 12</w:t>
            </w:r>
          </w:p>
        </w:tc>
        <w:tc>
          <w:tcPr>
            <w:tcW w:w="1289" w:type="dxa"/>
          </w:tcPr>
          <w:p w14:paraId="285CDAC6" w14:textId="067C723C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3F4D8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ساعت8 تا 12</w:t>
            </w:r>
          </w:p>
        </w:tc>
      </w:tr>
      <w:tr w:rsidR="00A42B84" w:rsidRPr="00853ACF" w14:paraId="04907AD1" w14:textId="77777777" w:rsidTr="00A4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2BACE3D4" w14:textId="77777777" w:rsidR="00A42B84" w:rsidRPr="00A93F66" w:rsidRDefault="00A42B84" w:rsidP="00A42B84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31" w:type="dxa"/>
          </w:tcPr>
          <w:p w14:paraId="22AD066C" w14:textId="278AC368" w:rsidR="00A42B84" w:rsidRPr="00853ACF" w:rsidRDefault="00BE4180" w:rsidP="00A42B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مستندات موجود در بخش</w:t>
            </w:r>
          </w:p>
        </w:tc>
        <w:tc>
          <w:tcPr>
            <w:tcW w:w="1341" w:type="dxa"/>
          </w:tcPr>
          <w:p w14:paraId="62DC1EDF" w14:textId="056D22F4" w:rsidR="00A42B84" w:rsidRPr="00853ACF" w:rsidRDefault="00A42B84" w:rsidP="00A42B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47" w:type="dxa"/>
          </w:tcPr>
          <w:p w14:paraId="31992F59" w14:textId="46E296C6" w:rsidR="00A42B84" w:rsidRPr="00853ACF" w:rsidRDefault="00BE4180" w:rsidP="00A42B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گوشی پزشکی خط کش</w:t>
            </w:r>
          </w:p>
        </w:tc>
        <w:tc>
          <w:tcPr>
            <w:tcW w:w="1339" w:type="dxa"/>
          </w:tcPr>
          <w:p w14:paraId="2961D2E4" w14:textId="77777777" w:rsidR="00A42B84" w:rsidRDefault="00BE4180" w:rsidP="00A42B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گوشی پزشکی</w:t>
            </w:r>
          </w:p>
          <w:p w14:paraId="5CBA371B" w14:textId="67C17D2E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چکش رفلکس</w:t>
            </w:r>
          </w:p>
        </w:tc>
        <w:tc>
          <w:tcPr>
            <w:tcW w:w="1366" w:type="dxa"/>
          </w:tcPr>
          <w:p w14:paraId="415C8E47" w14:textId="77777777" w:rsidR="00BE4180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گوشی پزشکی</w:t>
            </w:r>
          </w:p>
          <w:p w14:paraId="098EAA94" w14:textId="77777777" w:rsidR="00A42B84" w:rsidRDefault="00BE4180" w:rsidP="00A42B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 xml:space="preserve">چک لیست تغذیه ای بیمار </w:t>
            </w:r>
          </w:p>
          <w:p w14:paraId="6EE0F57A" w14:textId="180DCDBC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اسانس برای ارزیابی بویایی</w:t>
            </w:r>
          </w:p>
        </w:tc>
        <w:tc>
          <w:tcPr>
            <w:tcW w:w="1289" w:type="dxa"/>
          </w:tcPr>
          <w:p w14:paraId="47362E06" w14:textId="13E72C17" w:rsidR="00A42B84" w:rsidRPr="00853ACF" w:rsidRDefault="00BE4180" w:rsidP="00A42B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چک لیست</w:t>
            </w:r>
          </w:p>
        </w:tc>
      </w:tr>
    </w:tbl>
    <w:p w14:paraId="35C46736" w14:textId="4132935B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7"/>
        <w:gridCol w:w="1331"/>
        <w:gridCol w:w="1341"/>
        <w:gridCol w:w="1347"/>
        <w:gridCol w:w="1339"/>
        <w:gridCol w:w="1366"/>
        <w:gridCol w:w="1289"/>
      </w:tblGrid>
      <w:tr w:rsidR="00BE4180" w:rsidRPr="00872C1B" w14:paraId="40F03E2A" w14:textId="77777777" w:rsidTr="000B5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1D060295" w14:textId="77777777" w:rsidR="00BE4180" w:rsidRPr="00853ACF" w:rsidRDefault="00BE4180" w:rsidP="000B5AA2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31" w:type="dxa"/>
          </w:tcPr>
          <w:p w14:paraId="0A9DC08F" w14:textId="45EB3478" w:rsidR="00BE4180" w:rsidRPr="00853ACF" w:rsidRDefault="00BE4180" w:rsidP="00BE418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 هفتم</w:t>
            </w:r>
          </w:p>
        </w:tc>
        <w:tc>
          <w:tcPr>
            <w:tcW w:w="1341" w:type="dxa"/>
          </w:tcPr>
          <w:p w14:paraId="60F0EACA" w14:textId="5B27753E" w:rsidR="00BE4180" w:rsidRPr="00853ACF" w:rsidRDefault="00BE4180" w:rsidP="00BE418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 هشتم</w:t>
            </w:r>
          </w:p>
        </w:tc>
        <w:tc>
          <w:tcPr>
            <w:tcW w:w="1347" w:type="dxa"/>
          </w:tcPr>
          <w:p w14:paraId="156C341B" w14:textId="1ED9E7D1" w:rsidR="00BE4180" w:rsidRPr="00853ACF" w:rsidRDefault="00BE4180" w:rsidP="00BE418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 نهم</w:t>
            </w:r>
          </w:p>
        </w:tc>
        <w:tc>
          <w:tcPr>
            <w:tcW w:w="1339" w:type="dxa"/>
          </w:tcPr>
          <w:p w14:paraId="7317B8C9" w14:textId="26474F54" w:rsidR="00BE4180" w:rsidRPr="00853ACF" w:rsidRDefault="00BE4180" w:rsidP="00BE4180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 دهم</w:t>
            </w:r>
          </w:p>
        </w:tc>
        <w:tc>
          <w:tcPr>
            <w:tcW w:w="1366" w:type="dxa"/>
          </w:tcPr>
          <w:p w14:paraId="7018F412" w14:textId="592F2671" w:rsidR="00BE4180" w:rsidRPr="00853ACF" w:rsidRDefault="00BE4180" w:rsidP="000B5AA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14:paraId="08585CE4" w14:textId="18BB0157" w:rsidR="00BE4180" w:rsidRPr="00853ACF" w:rsidRDefault="00BE4180" w:rsidP="000B5AA2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</w:p>
        </w:tc>
      </w:tr>
      <w:tr w:rsidR="00BE4180" w:rsidRPr="00853ACF" w14:paraId="1699F1CA" w14:textId="77777777" w:rsidTr="000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5B8DB8F5" w14:textId="77777777" w:rsidR="00BE4180" w:rsidRPr="00853ACF" w:rsidRDefault="00BE4180" w:rsidP="00BE4180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31" w:type="dxa"/>
          </w:tcPr>
          <w:p w14:paraId="66FD77D4" w14:textId="125AD924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BE418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معاینه سيستم ادراري تناسلي، پوست</w:t>
            </w:r>
          </w:p>
        </w:tc>
        <w:tc>
          <w:tcPr>
            <w:tcW w:w="1341" w:type="dxa"/>
          </w:tcPr>
          <w:p w14:paraId="615E1099" w14:textId="3A7FDD61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BE418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تغييرات شاخصهاي آزمايشگاهي و پاراكلينيكي در سالمندي </w:t>
            </w:r>
          </w:p>
        </w:tc>
        <w:tc>
          <w:tcPr>
            <w:tcW w:w="1347" w:type="dxa"/>
          </w:tcPr>
          <w:p w14:paraId="70AFB05F" w14:textId="2843BD3F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BE418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كاربرد ابزارهاي مختلف ارزيابي سالمندان </w:t>
            </w:r>
          </w:p>
        </w:tc>
        <w:tc>
          <w:tcPr>
            <w:tcW w:w="1339" w:type="dxa"/>
          </w:tcPr>
          <w:p w14:paraId="1F0E10D8" w14:textId="05369FB1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BE4180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ارزشیابی</w:t>
            </w:r>
          </w:p>
        </w:tc>
        <w:tc>
          <w:tcPr>
            <w:tcW w:w="1366" w:type="dxa"/>
          </w:tcPr>
          <w:p w14:paraId="79A8EA55" w14:textId="141EC853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89" w:type="dxa"/>
          </w:tcPr>
          <w:p w14:paraId="6032C41A" w14:textId="00E2B3F7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BE4180" w:rsidRPr="00853ACF" w14:paraId="0E416962" w14:textId="77777777" w:rsidTr="000B5A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2ADD8BC8" w14:textId="77777777" w:rsidR="00BE4180" w:rsidRPr="00853ACF" w:rsidRDefault="00BE4180" w:rsidP="00BE418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مسؤول</w:t>
            </w:r>
          </w:p>
        </w:tc>
        <w:tc>
          <w:tcPr>
            <w:tcW w:w="1331" w:type="dxa"/>
          </w:tcPr>
          <w:p w14:paraId="10483061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341" w:type="dxa"/>
          </w:tcPr>
          <w:p w14:paraId="3C74BFF9" w14:textId="59B77100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491B58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347" w:type="dxa"/>
          </w:tcPr>
          <w:p w14:paraId="65F578EA" w14:textId="6D77039C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491B58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339" w:type="dxa"/>
          </w:tcPr>
          <w:p w14:paraId="152C9176" w14:textId="09D2661F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 w:rsidRPr="00491B58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دکتر سریه پورتقی</w:t>
            </w:r>
          </w:p>
        </w:tc>
        <w:tc>
          <w:tcPr>
            <w:tcW w:w="1366" w:type="dxa"/>
          </w:tcPr>
          <w:p w14:paraId="69D51748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89" w:type="dxa"/>
          </w:tcPr>
          <w:p w14:paraId="2EEB26EF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BE4180" w:rsidRPr="00853ACF" w14:paraId="7476FEDA" w14:textId="77777777" w:rsidTr="000B5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7E747DCF" w14:textId="77777777" w:rsidR="00BE4180" w:rsidRPr="00853ACF" w:rsidRDefault="00BE4180" w:rsidP="00BE418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  <w:r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1" w:type="dxa"/>
          </w:tcPr>
          <w:p w14:paraId="560B6AA7" w14:textId="70B00BCD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CC32B1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ساعت8 تا 12</w:t>
            </w:r>
          </w:p>
        </w:tc>
        <w:tc>
          <w:tcPr>
            <w:tcW w:w="1341" w:type="dxa"/>
          </w:tcPr>
          <w:p w14:paraId="0F077DA2" w14:textId="1F28F42A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CC32B1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ساعت8 تا 12</w:t>
            </w:r>
          </w:p>
        </w:tc>
        <w:tc>
          <w:tcPr>
            <w:tcW w:w="1347" w:type="dxa"/>
          </w:tcPr>
          <w:p w14:paraId="2D6B7815" w14:textId="012BBBFD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CC32B1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ساعت8 تا 12</w:t>
            </w:r>
          </w:p>
        </w:tc>
        <w:tc>
          <w:tcPr>
            <w:tcW w:w="1339" w:type="dxa"/>
          </w:tcPr>
          <w:p w14:paraId="0EEA9B5E" w14:textId="34625FB7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آخرین روز</w:t>
            </w:r>
          </w:p>
        </w:tc>
        <w:tc>
          <w:tcPr>
            <w:tcW w:w="1366" w:type="dxa"/>
          </w:tcPr>
          <w:p w14:paraId="5957218A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</w:p>
        </w:tc>
        <w:tc>
          <w:tcPr>
            <w:tcW w:w="1289" w:type="dxa"/>
          </w:tcPr>
          <w:p w14:paraId="0A803B7E" w14:textId="77777777" w:rsidR="00BE4180" w:rsidRPr="00853ACF" w:rsidRDefault="00BE4180" w:rsidP="00BE41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BE4180" w:rsidRPr="00853ACF" w14:paraId="6EC34F89" w14:textId="77777777" w:rsidTr="000B5A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14:paraId="141BE63C" w14:textId="77777777" w:rsidR="00BE4180" w:rsidRPr="00A93F66" w:rsidRDefault="00BE4180" w:rsidP="00BE4180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31" w:type="dxa"/>
          </w:tcPr>
          <w:p w14:paraId="0D5C5B26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41" w:type="dxa"/>
          </w:tcPr>
          <w:p w14:paraId="2B2181FE" w14:textId="5155CE0D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مستندات موجود در پرونده بیمار</w:t>
            </w:r>
          </w:p>
        </w:tc>
        <w:tc>
          <w:tcPr>
            <w:tcW w:w="1347" w:type="dxa"/>
          </w:tcPr>
          <w:p w14:paraId="3F84C829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39" w:type="dxa"/>
          </w:tcPr>
          <w:p w14:paraId="63FFB365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66" w:type="dxa"/>
          </w:tcPr>
          <w:p w14:paraId="6392161C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</w:p>
        </w:tc>
        <w:tc>
          <w:tcPr>
            <w:tcW w:w="1289" w:type="dxa"/>
          </w:tcPr>
          <w:p w14:paraId="76672A01" w14:textId="77777777" w:rsidR="00BE4180" w:rsidRPr="00853ACF" w:rsidRDefault="00BE4180" w:rsidP="00BE4180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6DC9483F" w:rsidR="00BC7A9F" w:rsidRDefault="00BC7A9F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E7CzUje&#10;AAAACgEAAA8AAAAAAAAAAAAAAAAAnwQAAGRycy9kb3ducmV2LnhtbFBLBQYAAAAABAAEAPMAAACq&#10;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3397F" w14:textId="77777777" w:rsidR="00582CE5" w:rsidRDefault="00582CE5" w:rsidP="00275357">
      <w:pPr>
        <w:spacing w:after="0" w:line="240" w:lineRule="auto"/>
      </w:pPr>
      <w:r>
        <w:separator/>
      </w:r>
    </w:p>
  </w:endnote>
  <w:endnote w:type="continuationSeparator" w:id="0">
    <w:p w14:paraId="55BFF835" w14:textId="77777777" w:rsidR="00582CE5" w:rsidRDefault="00582CE5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41DF3610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08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99F4" w14:textId="77777777" w:rsidR="00582CE5" w:rsidRDefault="00582CE5" w:rsidP="00275357">
      <w:pPr>
        <w:spacing w:after="0" w:line="240" w:lineRule="auto"/>
      </w:pPr>
      <w:r>
        <w:separator/>
      </w:r>
    </w:p>
  </w:footnote>
  <w:footnote w:type="continuationSeparator" w:id="0">
    <w:p w14:paraId="6C843B98" w14:textId="77777777" w:rsidR="00582CE5" w:rsidRDefault="00582CE5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3A55397"/>
    <w:multiLevelType w:val="hybridMultilevel"/>
    <w:tmpl w:val="31FCDA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21C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2CE5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308C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42B84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180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1669"/>
    <w:rsid w:val="00E97818"/>
    <w:rsid w:val="00E97F29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CE8E-3A11-4913-AD60-61681223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Sariye Pourtaghi</cp:lastModifiedBy>
  <cp:revision>5</cp:revision>
  <cp:lastPrinted>2020-08-04T07:19:00Z</cp:lastPrinted>
  <dcterms:created xsi:type="dcterms:W3CDTF">2020-11-04T18:39:00Z</dcterms:created>
  <dcterms:modified xsi:type="dcterms:W3CDTF">2023-10-28T08:49:00Z</dcterms:modified>
</cp:coreProperties>
</file>